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235581">
            <w:r>
              <w:rPr>
                <w:rStyle w:val="Hyperlink"/>
              </w:rPr>
              <w:t>Indicador - Nº de créditos primera matrícula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_Toc3235581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355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_Toc3235582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355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_Toc3235583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355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_Toc3235584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235581" w:id="1"/>
      <w:r>
        <w:t>Indicador - Nº de créditos primera matrícula</w:t>
      </w:r>
      <w:bookmarkEnd w:id="1"/>
    </w:p>
    <w:p>
      <w:pPr>
        <w:pStyle w:val="DiccionarioT2"/>
      </w:pPr>
      <w:bookmarkStart w:name="_Toc32355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los créditos de las asignaturas matriculadas por 1ª vez por cada estudiante en enseñanzas universitarias oficiales de Grado y Máster.</w:t>
      </w:r>
    </w:p>
    <w:p>
      <w:pPr>
        <w:pStyle w:val="DiccionarioT2"/>
      </w:pPr>
      <w:bookmarkStart w:name="_Toc32355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créditos de las asignaturas en que se ha matriculado el estudiante en el año académico que cumplen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Distintos de créditos reconocidos (según criterio SIIU) ni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veces matriculada = “1”.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32355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20/10/2026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03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