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63891">
            <w:r>
              <w:rPr>
                <w:rStyle w:val="Hyperlink"/>
              </w:rPr>
              <w:t>Indicador - Nº de créditos superados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_Toc1763891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63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_Toc1763892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63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_Toc1763893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638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_Toc1763894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63891" w:id="1"/>
      <w:r>
        <w:t>Indicador - Nº de créditos superados</w:t>
      </w:r>
      <w:bookmarkEnd w:id="1"/>
    </w:p>
    <w:p>
      <w:pPr>
        <w:pStyle w:val="DiccionarioT2"/>
      </w:pPr>
      <w:bookmarkStart w:name="_Toc1763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superados por cada estudiante.</w:t>
      </w:r>
    </w:p>
    <w:p>
      <w:pPr>
        <w:pStyle w:val="DiccionarioT2"/>
      </w:pPr>
      <w:bookmarkStart w:name="_Toc1763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créditos matriculados que cumplen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tras las dos convocatorias anuales = “Aprobado”, “Notable”, “Sobresaliente”, “Matrícula de Honor”, “Aprobado por compensación”, “Apto”).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7638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