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349101">
            <w:r>
              <w:rPr>
                <w:rStyle w:val="Hyperlink"/>
              </w:rPr>
              <w:t>Indicador - Calificaciones en asignaturas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_Toc5349101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491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_Toc5349102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491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_Toc5349103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491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_Toc5349104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349101" w:id="1"/>
      <w:r>
        <w:t>Indicador - Calificaciones en asignaturas</w:t>
      </w:r>
      <w:bookmarkEnd w:id="1"/>
    </w:p>
    <w:p>
      <w:pPr>
        <w:pStyle w:val="DiccionarioT2"/>
      </w:pPr>
      <w:bookmarkStart w:name="_Toc53491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Recuento de las calificaciones cualitativas (“Aprobado”, “Notable”, “Sobresaliente”, “Matrícula de Honor”, “Aprobado por compensación”, “Apto”) obtenidas por los estudiantes en las asignaturas de Grado y Máster.</w:t>
      </w:r>
    </w:p>
    <w:p>
      <w:pPr>
        <w:pStyle w:val="DiccionarioT2"/>
      </w:pPr>
      <w:bookmarkStart w:name="_Toc53491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Recuento de las calificaciones cualitativas (“Aprobado”, “Notable”, “Sobresaliente”, “Matrícula de Honor”, “Aprobado por compensación”, “Apto”) obtenidas por los estudiantes en las asignaturas de Grado y Máster.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pStyle w:val="DiccionarioT2"/>
      </w:pPr>
      <w:bookmarkStart w:name="_Toc53491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