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33591">
            <w:r>
              <w:rPr>
                <w:rStyle w:val="Hyperlink"/>
              </w:rPr>
              <w:t>Indicador - Nº de estudiantes que abandonan sus estudios en segundo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_Toc9833591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335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_Toc9833592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335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_Toc9833593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33591" w:id="1"/>
      <w:r>
        <w:t>Indicador - Nº de estudiantes que abandonan sus estudios en segundo año</w:t>
      </w:r>
      <w:bookmarkEnd w:id="1"/>
    </w:p>
    <w:p>
      <w:pPr>
        <w:pStyle w:val="DiccionarioT2"/>
      </w:pPr>
      <w:bookmarkStart w:name="_Toc98335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en el curso X, matriculados en el título T en el curso X+1, que sin haberse graduado en ese título no se han matriculado en el curso X+2 ni en el curso X+3.</w:t>
      </w:r>
    </w:p>
    <w:p>
      <w:pPr>
        <w:pStyle w:val="DiccionarioT2"/>
      </w:pPr>
      <w:bookmarkStart w:name="_Toc98335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grado y máster que abandonan sus estudios tras el segundo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contabilizan los estudiantes que: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Estaban matriculados en la titulación (T) en el curso X+1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X+2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están matriculados en la titulación (T) en el curso X+3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que no han superado o reconocido (atendiendo al criterio de créditos reconocidos de SIIU) los créditos necesarios y suficientes para obtener el título de Grado o Máster.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24/06/2026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