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1306561">
            <w:r>
              <w:rPr>
                <w:rStyle w:val="Hyperlink"/>
              </w:rPr>
              <w:t>Indicador - Tasa de rendimiento en 1ª matrícula</w:t>
            </w:r>
            <w:r>
              <w:rPr>
                <w:noProof/>
                <w:webHidden/>
              </w:rPr>
              <w:tab/>
            </w:r>
            <w:r>
              <w:rPr>
                <w:noProof/>
                <w:webHidden/>
              </w:rPr>
              <w:fldChar w:fldCharType="begin"/>
            </w:r>
            <w:r>
              <w:rPr>
                <w:noProof/>
                <w:webHidden/>
              </w:rPr>
              <w:instrText xml:space="preserve">PAGEREF _Toc1306561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1306562">
            <w:r>
              <w:rPr>
                <w:rStyle w:val="Hyperlink"/>
              </w:rPr>
              <w:t>Descripción</w:t>
            </w:r>
            <w:r>
              <w:rPr>
                <w:noProof/>
                <w:webHidden/>
              </w:rPr>
              <w:tab/>
            </w:r>
            <w:r>
              <w:rPr>
                <w:noProof/>
                <w:webHidden/>
              </w:rPr>
              <w:fldChar w:fldCharType="begin"/>
            </w:r>
            <w:r>
              <w:rPr>
                <w:noProof/>
                <w:webHidden/>
              </w:rPr>
              <w:instrText xml:space="preserve">PAGEREF _Toc1306562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1306563">
            <w:r>
              <w:rPr>
                <w:rStyle w:val="Hyperlink"/>
              </w:rPr>
              <w:t>Forma de cálculo</w:t>
            </w:r>
            <w:r>
              <w:rPr>
                <w:noProof/>
                <w:webHidden/>
              </w:rPr>
              <w:tab/>
            </w:r>
            <w:r>
              <w:rPr>
                <w:noProof/>
                <w:webHidden/>
              </w:rPr>
              <w:fldChar w:fldCharType="begin"/>
            </w:r>
            <w:r>
              <w:rPr>
                <w:noProof/>
                <w:webHidden/>
              </w:rPr>
              <w:instrText xml:space="preserve">PAGEREF _Toc1306563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1306564">
            <w:r>
              <w:rPr>
                <w:rStyle w:val="Hyperlink"/>
              </w:rPr>
              <w:t>Artículos relacionados</w:t>
            </w:r>
            <w:r>
              <w:rPr>
                <w:noProof/>
                <w:webHidden/>
              </w:rPr>
              <w:tab/>
            </w:r>
            <w:r>
              <w:rPr>
                <w:noProof/>
                <w:webHidden/>
              </w:rPr>
              <w:fldChar w:fldCharType="begin"/>
            </w:r>
            <w:r>
              <w:rPr>
                <w:noProof/>
                <w:webHidden/>
              </w:rPr>
              <w:instrText xml:space="preserve">PAGEREF _Toc1306564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1306561" w:id="1"/>
      <w:r>
        <w:t>Indicador - Tasa de rendimiento en 1ª matrícula</w:t>
      </w:r>
      <w:bookmarkEnd w:id="1"/>
    </w:p>
    <w:p>
      <w:pPr>
        <w:pStyle w:val="DiccionarioT2"/>
      </w:pPr>
      <w:bookmarkStart w:name="_Toc1306562" w:id="2"/>
      <w:r>
        <w:t>Descripción</w:t>
      </w:r>
      <w:bookmarkEnd w:id="2"/>
    </w:p>
    <w:p>
      <w:pPr>
        <w:spacing w:before="269" w:after="269"/>
        <w:ind w:left="0"/>
        <w:jc w:val="left"/>
      </w:pPr>
      <w:r>
        <w:rPr>
          <w:rFonts w:ascii="Calibri" w:hAnsi="Calibri"/>
          <w:b w:val="false"/>
          <w:i w:val="false"/>
          <w:color w:val="000000"/>
          <w:sz w:val="22"/>
        </w:rPr>
        <w:t>Relación porcentual entre el número de créditos superados de las asignaturas matriculadas por 1ª vez con respecto al número de créditos de las asignaturas matriculadas por primera vez en enseñanzas oficiales de grado y máster.</w:t>
      </w:r>
    </w:p>
    <w:p>
      <w:pPr>
        <w:pStyle w:val="DiccionarioT2"/>
      </w:pPr>
      <w:bookmarkStart w:name="_Toc130656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p>
    <w:p>
      <w:pPr>
        <w:numPr>
          <w:ilvl w:val="1"/>
          <w:numId w:val="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16">
        <w:r>
          <w:rPr>
            <w:rFonts w:ascii="Calibri" w:hAnsi="Calibri"/>
            <w:b w:val="false"/>
            <w:i w:val="false"/>
            <w:color w:val="0000ff"/>
            <w:sz w:val="22"/>
            <w:u w:val="single"/>
          </w:rPr>
          <w:t>Nº de créditos superados en 1ª matrícula</w:t>
        </w:r>
      </w:hyperlink>
    </w:p>
    <w:p>
      <w:pPr>
        <w:numPr>
          <w:ilvl w:val="1"/>
          <w:numId w:val="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17">
        <w:r>
          <w:rPr>
            <w:rFonts w:ascii="Calibri" w:hAnsi="Calibri"/>
            <w:b w:val="false"/>
            <w:i w:val="false"/>
            <w:color w:val="0000ff"/>
            <w:sz w:val="22"/>
            <w:u w:val="single"/>
          </w:rPr>
          <w:t>Nº de créditos primera matrícula</w:t>
        </w:r>
      </w:hyperlink>
    </w:p>
    <w:p>
      <w:pPr>
        <w:numPr>
          <w:ilvl w:val="0"/>
          <w:numId w:val="1"/>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rendimiento en 1ª matrícula</w:t>
      </w:r>
      <w:r>
        <w:rPr>
          <w:rFonts w:ascii="Calibri" w:hAnsi="Calibri"/>
          <w:b w:val="false"/>
          <w:i w:val="false"/>
          <w:color w:val="000000"/>
          <w:sz w:val="22"/>
        </w:rPr>
        <w:t>” cumple los siguientes criterios:</w:t>
      </w:r>
      <w:r>
        <w:br/>
      </w:r>
    </w:p>
    <w:p>
      <w:pPr>
        <w:numPr>
          <w:ilvl w:val="1"/>
          <w:numId w:val="2"/>
        </w:numPr>
        <w:spacing w:before="0" w:after="0"/>
        <w:jc w:val="left"/>
      </w:pPr>
      <w:r>
        <w:rPr>
          <w:rFonts w:ascii="Calibri" w:hAnsi="Calibri"/>
          <w:b w:val="false"/>
          <w:i w:val="false"/>
          <w:color w:val="000000"/>
          <w:sz w:val="22"/>
        </w:rPr>
        <w:t>Tipo de estudio = Grado, Máster</w:t>
      </w:r>
    </w:p>
    <w:p>
      <w:pPr>
        <w:numPr>
          <w:ilvl w:val="1"/>
          <w:numId w:val="2"/>
        </w:numPr>
        <w:spacing w:before="0" w:after="0"/>
        <w:jc w:val="left"/>
      </w:pPr>
      <w:r>
        <w:rPr>
          <w:rFonts w:ascii="Calibri" w:hAnsi="Calibri"/>
          <w:b w:val="false"/>
          <w:i w:val="false"/>
          <w:color w:val="000000"/>
          <w:sz w:val="22"/>
        </w:rPr>
        <w:t>Créditos de asignaturas que no hayan sido anuladas</w:t>
      </w:r>
    </w:p>
    <w:p>
      <w:pPr>
        <w:numPr>
          <w:ilvl w:val="1"/>
          <w:numId w:val="2"/>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2"/>
        </w:numPr>
        <w:spacing w:before="0" w:after="0"/>
        <w:jc w:val="left"/>
      </w:pPr>
      <w:r>
        <w:rPr>
          <w:rFonts w:ascii="Calibri" w:hAnsi="Calibri"/>
          <w:b w:val="false"/>
          <w:i w:val="false"/>
          <w:color w:val="000000"/>
          <w:sz w:val="22"/>
        </w:rPr>
        <w:t>Número de vez matriculada = 1</w:t>
      </w:r>
    </w:p>
    <w:p>
      <w:pPr>
        <w:numPr>
          <w:ilvl w:val="1"/>
          <w:numId w:val="2"/>
        </w:numPr>
        <w:spacing w:before="0" w:after="0"/>
        <w:jc w:val="left"/>
      </w:pPr>
      <w:r>
        <w:rPr>
          <w:rFonts w:ascii="Calibri" w:hAnsi="Calibri"/>
          <w:b w:val="false"/>
          <w:i w:val="false"/>
          <w:color w:val="000000"/>
          <w:sz w:val="22"/>
        </w:rPr>
        <w:t>Población de referencia: </w:t>
      </w:r>
      <w:hyperlink r:id="rId18">
        <w:r>
          <w:rPr>
            <w:rFonts w:ascii="Calibri" w:hAnsi="Calibri"/>
            <w:b w:val="false"/>
            <w:i w:val="false"/>
            <w:color w:val="0000ff"/>
            <w:sz w:val="22"/>
            <w:u w:val="single"/>
          </w:rPr>
          <w:t>Población de créditos</w:t>
        </w:r>
      </w:hyperlink>
    </w:p>
    <w:p>
      <w:pPr>
        <w:numPr>
          <w:ilvl w:val="0"/>
          <w:numId w:val="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2"/>
      </w:pPr>
      <w:bookmarkStart w:name="_Toc1306564" w:id="4"/>
      <w:r>
        <w:t>Artículos relacionados</w:t>
      </w:r>
      <w:bookmarkEnd w:id="4"/>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25/06/2026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1"/>
    <w:lvlOverride w:ilvl="1">
      <w:startOverride w:val="1"/>
      <w:lvl w:ilvl="1">
        <w:numFmt w:val="bullet"/>
        <w:lvlText w:val="o"/>
        <w:pPr>
          <w:ind w:left="1560" w:hanging="360"/>
        </w:pPr>
        <w:rPr>
          <w:rFonts w:hint="default" w:ascii="Courier New" w:hAnsi="Courier New" w:cs="Courier New"/>
        </w:rPr>
      </w:lvl>
    </w:lvlOverride>
  </w:num>
  <w:num w:numId="3">
    <w:abstractNumId w:val="2"/>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 TargetMode="External" Target="PreviewConcept.action?conceptCode=10522" Type="http://schemas.openxmlformats.org/officeDocument/2006/relationships/hyperlink" Id="rId16"/>
    <Relationship TargetMode="External" Target="PreviewConcept.action?conceptCode=10521" Type="http://schemas.openxmlformats.org/officeDocument/2006/relationships/hyperlink" Id="rId17"/>
    <Relationship TargetMode="External" Target="PreviewConcept.action?conceptCode=10603" Type="http://schemas.openxmlformats.org/officeDocument/2006/relationships/hyperlink" Id="rId18"/>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