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4256281">
            <w:r>
              <w:rPr>
                <w:rStyle w:val="Hyperlink"/>
              </w:rPr>
              <w:t xml:space="preserve">Indicador - Nº de créditos reconocidos</w:t>
            </w:r>
            <w:r>
              <w:rPr>
                <w:noProof/>
                <w:webHidden/>
              </w:rPr>
              <w:tab/>
            </w:r>
            <w:r>
              <w:rPr>
                <w:noProof/>
                <w:webHidden/>
              </w:rPr>
              <w:fldChar w:fldCharType="begin"/>
            </w:r>
            <w:r>
              <w:rPr>
                <w:noProof/>
                <w:webHidden/>
              </w:rPr>
              <w:instrText xml:space="preserve">PAGEREF _Toc4256281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256282">
            <w:r>
              <w:rPr>
                <w:rStyle w:val="Hyperlink"/>
              </w:rPr>
              <w:t>Descripción</w:t>
            </w:r>
            <w:r>
              <w:rPr>
                <w:noProof/>
                <w:webHidden/>
              </w:rPr>
              <w:tab/>
            </w:r>
            <w:r>
              <w:rPr>
                <w:noProof/>
                <w:webHidden/>
              </w:rPr>
              <w:fldChar w:fldCharType="begin"/>
            </w:r>
            <w:r>
              <w:rPr>
                <w:noProof/>
                <w:webHidden/>
              </w:rPr>
              <w:instrText xml:space="preserve">PAGEREF _Toc4256282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256283">
            <w:r>
              <w:rPr>
                <w:rStyle w:val="Hyperlink"/>
              </w:rPr>
              <w:t>Forma de cálculo</w:t>
            </w:r>
            <w:r>
              <w:rPr>
                <w:noProof/>
                <w:webHidden/>
              </w:rPr>
              <w:tab/>
            </w:r>
            <w:r>
              <w:rPr>
                <w:noProof/>
                <w:webHidden/>
              </w:rPr>
              <w:fldChar w:fldCharType="begin"/>
            </w:r>
            <w:r>
              <w:rPr>
                <w:noProof/>
                <w:webHidden/>
              </w:rPr>
              <w:instrText xml:space="preserve">PAGEREF _Toc4256283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256284">
            <w:r>
              <w:rPr>
                <w:rStyle w:val="Hyperlink"/>
              </w:rPr>
              <w:t>Artículos relacionados</w:t>
            </w:r>
            <w:r>
              <w:rPr>
                <w:noProof/>
                <w:webHidden/>
              </w:rPr>
              <w:tab/>
            </w:r>
            <w:r>
              <w:rPr>
                <w:noProof/>
                <w:webHidden/>
              </w:rPr>
              <w:fldChar w:fldCharType="begin"/>
            </w:r>
            <w:r>
              <w:rPr>
                <w:noProof/>
                <w:webHidden/>
              </w:rPr>
              <w:instrText xml:space="preserve">PAGEREF _Toc4256284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4256281" w:id="1"/>
      <w:r>
        <w:t xml:space="preserve">Indicador - Nº de créditos reconocidos </w:t>
      </w:r>
      <w:bookmarkEnd w:id="1"/>
    </w:p>
    <w:p>
      <w:pPr>
        <w:pStyle w:val="DiccionarioT2"/>
      </w:pPr>
      <w:bookmarkStart w:name="_Toc4256282" w:id="2"/>
      <w:r>
        <w:t>Descripción</w:t>
      </w:r>
      <w:bookmarkEnd w:id="2"/>
    </w:p>
    <w:p>
      <w:pPr>
        <w:spacing w:before="269" w:after="269"/>
        <w:ind w:left="0"/>
        <w:jc w:val="left"/>
      </w:pPr>
      <w:r>
        <w:rPr>
          <w:rFonts w:ascii="Calibri" w:hAnsi="Calibri"/>
          <w:b w:val="false"/>
          <w:i w:val="false"/>
          <w:color w:val="000000"/>
          <w:sz w:val="22"/>
        </w:rPr>
        <w:t>Número total y número medio por estudiante de los créditos reconocidos durante el curso académico.</w:t>
      </w:r>
    </w:p>
    <w:p>
      <w:pPr>
        <w:pStyle w:val="DiccionarioT2"/>
      </w:pPr>
      <w:bookmarkStart w:name="_Toc425628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créditos reconocidos (según criterio SIIU) que cumplen los siguientes criterios:</w:t>
      </w:r>
    </w:p>
    <w:p>
      <w:pPr>
        <w:numPr>
          <w:ilvl w:val="1"/>
          <w:numId w:val="1"/>
        </w:numPr>
        <w:spacing w:before="0" w:after="0"/>
        <w:jc w:val="left"/>
      </w:pPr>
      <w:r>
        <w:rPr>
          <w:rFonts w:ascii="Calibri" w:hAnsi="Calibri"/>
          <w:b w:val="false"/>
          <w:i w:val="false"/>
          <w:color w:val="000000"/>
          <w:sz w:val="22"/>
        </w:rPr>
        <w:t>Tipo de estudio = Grado, Máster</w:t>
      </w:r>
    </w:p>
    <w:p>
      <w:pPr>
        <w:numPr>
          <w:ilvl w:val="1"/>
          <w:numId w:val="1"/>
        </w:numPr>
        <w:spacing w:before="0" w:after="0"/>
        <w:jc w:val="left"/>
      </w:pPr>
      <w:r>
        <w:rPr>
          <w:rFonts w:ascii="Calibri" w:hAnsi="Calibri"/>
          <w:b w:val="false"/>
          <w:i w:val="false"/>
          <w:color w:val="000000"/>
          <w:sz w:val="22"/>
        </w:rPr>
        <w:t>Créditos de asignaturas que no hayan sido anuladas</w:t>
      </w:r>
    </w:p>
    <w:p>
      <w:pPr>
        <w:numPr>
          <w:ilvl w:val="1"/>
          <w:numId w:val="1"/>
        </w:numPr>
        <w:spacing w:before="0" w:after="0"/>
        <w:jc w:val="left"/>
      </w:pPr>
      <w:r>
        <w:rPr>
          <w:rFonts w:ascii="Calibri" w:hAnsi="Calibri"/>
          <w:b w:val="false"/>
          <w:i w:val="false"/>
          <w:color w:val="000000"/>
          <w:sz w:val="22"/>
        </w:rPr>
        <w:t>Población de referencia: </w:t>
      </w:r>
      <w:hyperlink r:id="rId16">
        <w:r>
          <w:rPr>
            <w:rFonts w:ascii="Calibri" w:hAnsi="Calibri"/>
            <w:b w:val="false"/>
            <w:i w:val="false"/>
            <w:color w:val="0000ff"/>
            <w:sz w:val="22"/>
            <w:u w:val="single"/>
          </w:rPr>
          <w:t>Población Total</w:t>
        </w:r>
      </w:hyperlink>
      <w:r>
        <w:rPr>
          <w:rFonts w:ascii="Calibri" w:hAnsi="Calibri"/>
          <w:b w:val="false"/>
          <w:i w:val="false"/>
          <w:color w:val="000000"/>
          <w:sz w:val="22"/>
        </w:rPr>
        <w:t> y </w:t>
      </w:r>
      <w:hyperlink r:id="rId17">
        <w:r>
          <w:rPr>
            <w:rFonts w:ascii="Calibri" w:hAnsi="Calibri"/>
            <w:b w:val="false"/>
            <w:i w:val="false"/>
            <w:color w:val="0000ff"/>
            <w:sz w:val="22"/>
            <w:u w:val="single"/>
          </w:rPr>
          <w:t>Población de créditos</w:t>
        </w:r>
      </w:hyperlink>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spacing w:before="269" w:after="269"/>
        <w:ind w:left="0"/>
        <w:jc w:val="left"/>
      </w:pPr>
      <w:r>
        <w:rPr>
          <w:rFonts w:ascii="Calibri" w:hAnsi="Calibri"/>
          <w:b w:val="false"/>
          <w:i w:val="false"/>
          <w:color w:val="000000"/>
          <w:sz w:val="22"/>
        </w:rPr>
        <w:t>( 1 ) Los créditos equiparados procedentes de titulaciones distintas (distinto código de titulación MEC) de la titulación que ha cursado el estudiante en el año académico de referencia, deberán computarse como reconocidos.</w:t>
      </w:r>
    </w:p>
    <w:p>
      <w:pPr>
        <w:spacing w:before="269" w:after="269"/>
        <w:ind w:left="0"/>
        <w:jc w:val="left"/>
      </w:pPr>
      <w:r>
        <w:rPr>
          <w:rFonts w:ascii="Calibri" w:hAnsi="Calibri"/>
          <w:b w:val="false"/>
          <w:i w:val="false"/>
          <w:color w:val="000000"/>
          <w:sz w:val="22"/>
        </w:rPr>
        <w:t>( 2 ) Los créditos equiparados procedentes de planes de estudio que tienen un mismo código de titulación que la titulación que  ha cursado el estudiante en el año académico de referencia, deberán computarse como:</w:t>
      </w:r>
    </w:p>
    <w:p>
      <w:pPr>
        <w:numPr>
          <w:ilvl w:val="0"/>
          <w:numId w:val="3"/>
        </w:numPr>
        <w:spacing w:before="0" w:after="0"/>
        <w:jc w:val="left"/>
      </w:pPr>
      <w:r>
        <w:rPr>
          <w:rFonts w:ascii="Calibri" w:hAnsi="Calibri"/>
          <w:b w:val="false"/>
          <w:i w:val="false"/>
          <w:color w:val="000000"/>
          <w:sz w:val="22"/>
        </w:rPr>
        <w:t>Reconocidos si ya fueron reconocidos en el anterior plan de estudios</w:t>
      </w:r>
    </w:p>
    <w:p>
      <w:pPr>
        <w:numPr>
          <w:ilvl w:val="0"/>
          <w:numId w:val="3"/>
        </w:numPr>
        <w:spacing w:before="0" w:after="0"/>
        <w:jc w:val="left"/>
      </w:pPr>
      <w:r>
        <w:rPr>
          <w:rFonts w:ascii="Calibri" w:hAnsi="Calibri"/>
          <w:b w:val="false"/>
          <w:i w:val="false"/>
          <w:color w:val="000000"/>
          <w:sz w:val="22"/>
        </w:rPr>
        <w:t>Matriculados, presentados y superados si ya fueron matriculados, presentados y superados en el anterior plan de estudios</w:t>
      </w:r>
    </w:p>
    <w:p>
      <w:pPr>
        <w:pStyle w:val="DiccionarioT2"/>
      </w:pPr>
      <w:bookmarkStart w:name="_Toc425628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12/08/2026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abstractNum w:abstractNumId="3">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634" Type="http://schemas.openxmlformats.org/officeDocument/2006/relationships/hyperlink" Id="rId16"/>
    <Relationship TargetMode="External" Target="PreviewConcept.action?conceptCode=10603" Type="http://schemas.openxmlformats.org/officeDocument/2006/relationships/hyperlink" Id="rId17"/>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