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415101">
            <w:r>
              <w:rPr>
                <w:rStyle w:val="Hyperlink"/>
              </w:rPr>
              <w:t>Indicador - Nº de estudiantes en 2ª o posteriores matrículas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_Toc6415101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415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_Toc6415102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415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_Toc6415103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415101" w:id="1"/>
      <w:r>
        <w:t>Indicador - Nº de estudiantes en 2ª o posteriores matrículas</w:t>
      </w:r>
      <w:bookmarkEnd w:id="1"/>
    </w:p>
    <w:p>
      <w:pPr>
        <w:pStyle w:val="DiccionarioT2"/>
      </w:pPr>
      <w:bookmarkStart w:name="_Toc6415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que se han matriculado por segunda vez o posteriores en una asignatura en el curso académico de referencia.</w:t>
      </w:r>
    </w:p>
    <w:p>
      <w:pPr>
        <w:pStyle w:val="DiccionarioT2"/>
      </w:pPr>
      <w:bookmarkStart w:name="_Toc6415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2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Datos consolidados a fecha 20 de enero para el último curso académico cerrado.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