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371591">
            <w:r>
              <w:rPr>
                <w:rStyle w:val="Hyperlink"/>
              </w:rPr>
              <w:t>Indicador - Nº de estudiantes de nuevo ingreso por preinscripción (grado)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_Toc1371591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715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_Toc1371592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715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_Toc1371593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715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_Toc1371594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371591" w:id="1"/>
      <w:r>
        <w:t>Indicador - Nº de estudiantes de nuevo ingreso por preinscripción (grado)</w:t>
      </w:r>
      <w:bookmarkEnd w:id="1"/>
    </w:p>
    <w:p>
      <w:pPr>
        <w:pStyle w:val="DiccionarioT2"/>
      </w:pPr>
      <w:bookmarkStart w:name="_Toc13715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de nuevo ingreso por preinscripción en la titulación de grado en el curso académico de referencia en el que acceden a la titulación.</w:t>
      </w:r>
    </w:p>
    <w:p>
      <w:pPr>
        <w:pStyle w:val="DiccionarioT2"/>
      </w:pPr>
      <w:bookmarkStart w:name="_Toc13715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de nuevo ingreso que acceden por preinscripción en la titulación que cumplan los siguientes criterios 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la titulación sea el mismo que el año académico de referencia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consideran “estudiantes de nuevo ingreso por preinscripción” aquellos que tienen los tipos de acceso “preinscripción”; “mayores de 25 años; “mayores de 40 años”; “mayores de 45 años” y “reconocimiento de estudios”.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número de créditos reconocidos de los estudiantes de nuevo ingreso por preinscripción en el curso de referencia en el que acceden a la titulación &lt; 30.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3715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