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559641">
            <w:r>
              <w:rPr>
                <w:rStyle w:val="Hyperlink"/>
              </w:rPr>
              <w:t>Indicador - Tasa de graduación SIIU - Población óptima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_Toc6559641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596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_Toc6559642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596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_Toc6559643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55964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_Toc6559644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559641" w:id="1"/>
      <w:r>
        <w:t>Indicador - Tasa de graduación SIIU - Población óptima</w:t>
      </w:r>
      <w:bookmarkEnd w:id="1"/>
    </w:p>
    <w:p>
      <w:pPr>
        <w:pStyle w:val="DiccionarioT2"/>
      </w:pPr>
      <w:bookmarkStart w:name="_Toc65596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estudiantes de una cohorte de nuevo ingreso que han superado o reconocido (atendiendo al criterio de créditos reconocidos de SIIU) los créditos necesarios y suficientes para obtener el título de Grado o Máster antes de concluir el tiempo teórico previsto de finalización de sus estudios, más un año.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Por ejemplo, un estudiante de un título de 240 créditos (4 años), deberá haber superado / reconocido los 240 créditos necesarios para la obtención del título antes de 5 años. </w:t>
      </w:r>
    </w:p>
    <w:p>
      <w:pPr>
        <w:pStyle w:val="DiccionarioT2"/>
      </w:pPr>
      <w:bookmarkStart w:name="_Toc65596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</w:rPr>
        <w:t>: Estudiantes de una cohorte de nuevo ingreso que han superado o reconocido (atendiendo al criterio de créditos reconocidos de SIIU) los créditos necesarios y suficientes para obtener el título de Grado o Máster antes de concluir el tiempo teórico previsto de finalización de sus estudios, más un año.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estudiantes de nuevo ingreso</w:t>
        </w:r>
      </w:hyperlink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SIIU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Para los estudios de Grado: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 xml:space="preserve"> con dedicación a lo largo del estudio a tiempo completo.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Para los estudios de Máster: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Óptima</w:t>
        </w:r>
      </w:hyperlink>
      <w:r>
        <w:rPr>
          <w:rFonts w:ascii="Calibri" w:hAnsi="Calibri"/>
          <w:b/>
          <w:i w:val="false"/>
          <w:color w:val="000000"/>
          <w:sz w:val="22"/>
        </w:rPr>
        <w:t> </w:t>
      </w:r>
      <w:r>
        <w:rPr>
          <w:rFonts w:ascii="Calibri" w:hAnsi="Calibri"/>
          <w:b w:val="false"/>
          <w:i w:val="false"/>
          <w:color w:val="000000"/>
          <w:sz w:val="22"/>
        </w:rPr>
        <w:t>que es tiempo completo el primer año.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55964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486" Type="http://schemas.openxmlformats.org/officeDocument/2006/relationships/hyperlink" Id="rId16"/>
    <Relationship TargetMode="External" Target="PreviewConcept.action?conceptCode=10635" Type="http://schemas.openxmlformats.org/officeDocument/2006/relationships/hyperlink" Id="rId17"/>
    <Relationship TargetMode="External" Target="PreviewConcept.action?conceptCode=10636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