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03091">
            <w:r>
              <w:rPr>
                <w:rStyle w:val="Hyperlink"/>
              </w:rPr>
              <w:t>Indicador - Tasa de éxito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_Toc5303091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3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_Toc5303092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3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_Toc5303093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030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_Toc5303094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03091" w:id="1"/>
      <w:r>
        <w:t>Indicador - Tasa de éxito</w:t>
      </w:r>
      <w:bookmarkEnd w:id="1"/>
    </w:p>
    <w:p>
      <w:pPr>
        <w:pStyle w:val="DiccionarioT2"/>
      </w:pPr>
      <w:bookmarkStart w:name="_Toc5303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créditos superados y el número de créditos presentados.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Cuanto más alejados estén los valores del 100%, la tasa de éxito indica la mayor dificultad para superar las materias.</w:t>
      </w:r>
    </w:p>
    <w:p>
      <w:pPr>
        <w:pStyle w:val="DiccionarioT2"/>
      </w:pPr>
      <w:bookmarkStart w:name="_Toc5303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superados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presentados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éxito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3030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0" Type="http://schemas.openxmlformats.org/officeDocument/2006/relationships/hyperlink" Id="rId16"/>
    <Relationship TargetMode="External" Target="PreviewConcept.action?conceptCode=10519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