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588621">
            <w:r>
              <w:rPr>
                <w:rStyle w:val="Hyperlink"/>
              </w:rPr>
              <w:t>Indicador - Tasa de éxito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_Toc9588621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5886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_Toc9588622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5886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_Toc9588623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588621" w:id="1"/>
      <w:r>
        <w:t>Indicador - Tasa de éxito</w:t>
      </w:r>
      <w:bookmarkEnd w:id="1"/>
    </w:p>
    <w:p>
      <w:pPr>
        <w:pStyle w:val="DiccionarioT2"/>
      </w:pPr>
      <w:bookmarkStart w:name="_Toc95886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de créditos superados y el número de créditos presentados.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Cuanto más alejados estén los valores del 100%, la tasa de éxito indica la mayor dificultad para superar las materias.</w:t>
      </w:r>
    </w:p>
    <w:p>
      <w:pPr>
        <w:pStyle w:val="DiccionarioT2"/>
      </w:pPr>
      <w:bookmarkStart w:name="_Toc95886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superados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presentados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éxito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  <w:r>
        <w:br/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20" Type="http://schemas.openxmlformats.org/officeDocument/2006/relationships/hyperlink" Id="rId16"/>
    <Relationship TargetMode="External" Target="PreviewConcept.action?conceptCode=10519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