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5363371">
            <w:r>
              <w:rPr>
                <w:rStyle w:val="Hyperlink"/>
              </w:rPr>
              <w:t>Indicador - Cobertura de plazas ofertadas para máster</w:t>
            </w:r>
            <w:r>
              <w:rPr>
                <w:noProof/>
                <w:webHidden/>
              </w:rPr>
              <w:tab/>
            </w:r>
            <w:r>
              <w:rPr>
                <w:noProof/>
                <w:webHidden/>
              </w:rPr>
              <w:fldChar w:fldCharType="begin"/>
            </w:r>
            <w:r>
              <w:rPr>
                <w:noProof/>
                <w:webHidden/>
              </w:rPr>
              <w:instrText xml:space="preserve">PAGEREF _Toc5363371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5363372">
            <w:r>
              <w:rPr>
                <w:rStyle w:val="Hyperlink"/>
              </w:rPr>
              <w:t>Descripción</w:t>
            </w:r>
            <w:r>
              <w:rPr>
                <w:noProof/>
                <w:webHidden/>
              </w:rPr>
              <w:tab/>
            </w:r>
            <w:r>
              <w:rPr>
                <w:noProof/>
                <w:webHidden/>
              </w:rPr>
              <w:fldChar w:fldCharType="begin"/>
            </w:r>
            <w:r>
              <w:rPr>
                <w:noProof/>
                <w:webHidden/>
              </w:rPr>
              <w:instrText xml:space="preserve">PAGEREF _Toc5363372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5363373">
            <w:r>
              <w:rPr>
                <w:rStyle w:val="Hyperlink"/>
              </w:rPr>
              <w:t>Forma de cálculo</w:t>
            </w:r>
            <w:r>
              <w:rPr>
                <w:noProof/>
                <w:webHidden/>
              </w:rPr>
              <w:tab/>
            </w:r>
            <w:r>
              <w:rPr>
                <w:noProof/>
                <w:webHidden/>
              </w:rPr>
              <w:fldChar w:fldCharType="begin"/>
            </w:r>
            <w:r>
              <w:rPr>
                <w:noProof/>
                <w:webHidden/>
              </w:rPr>
              <w:instrText xml:space="preserve">PAGEREF _Toc5363373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5363371" w:id="1"/>
      <w:r>
        <w:t>Indicador - Cobertura de plazas ofertadas para máster</w:t>
      </w:r>
      <w:bookmarkEnd w:id="1"/>
    </w:p>
    <w:p>
      <w:pPr>
        <w:pStyle w:val="DiccionarioT2"/>
      </w:pPr>
      <w:bookmarkStart w:name="_Toc5363372" w:id="2"/>
      <w:r>
        <w:t>Descripción</w:t>
      </w:r>
      <w:bookmarkEnd w:id="2"/>
    </w:p>
    <w:p>
      <w:pPr>
        <w:spacing w:before="269" w:after="269"/>
        <w:ind w:left="0"/>
        <w:jc w:val="left"/>
      </w:pPr>
      <w:r>
        <w:rPr>
          <w:rFonts w:ascii="Calibri" w:hAnsi="Calibri"/>
          <w:b w:val="false"/>
          <w:i w:val="false"/>
          <w:color w:val="000000"/>
          <w:sz w:val="22"/>
        </w:rPr>
        <w:t>Número de estudiantes de nuevo ingreso en la titulación de máster en el curso académico de referencia con respecto al número de plazas ofertadas en el máster en el curso académico de referencia.</w:t>
      </w:r>
    </w:p>
    <w:p>
      <w:pPr>
        <w:pStyle w:val="DiccionarioT2"/>
      </w:pPr>
      <w:bookmarkStart w:name="_Toc5363373" w:id="3"/>
      <w:r>
        <w:t>Forma de cálculo</w:t>
      </w:r>
      <w:bookmarkEnd w:id="3"/>
    </w:p>
    <w:p>
      <w:pPr>
        <w:numPr>
          <w:ilvl w:val="0"/>
          <w:numId w:val="1"/>
        </w:numPr>
        <w:spacing w:before="0" w:after="0"/>
        <w:jc w:val="left"/>
      </w:pPr>
      <w:r>
        <w:rPr>
          <w:rFonts w:ascii="Calibri" w:hAnsi="Calibri"/>
          <w:b/>
          <w:i w:val="false"/>
          <w:color w:val="000000"/>
          <w:sz w:val="22"/>
        </w:rPr>
        <w:t>Sistema origen: </w:t>
      </w:r>
      <w:r>
        <w:rPr>
          <w:rFonts w:ascii="Calibri" w:hAnsi="Calibri"/>
          <w:b w:val="false"/>
          <w:i w:val="false"/>
          <w:color w:val="000000"/>
          <w:sz w:val="22"/>
        </w:rPr>
        <w:t>UXXI.</w:t>
      </w:r>
    </w:p>
    <w:p>
      <w:pPr>
        <w:numPr>
          <w:ilvl w:val="0"/>
          <w:numId w:val="1"/>
        </w:numPr>
        <w:spacing w:before="0" w:after="0"/>
        <w:jc w:val="left"/>
      </w:pPr>
      <w:r>
        <w:rPr>
          <w:rFonts w:ascii="Calibri" w:hAnsi="Calibri"/>
          <w:b/>
          <w:i w:val="false"/>
          <w:color w:val="000000"/>
          <w:sz w:val="22"/>
        </w:rPr>
        <w:t>Fórmula de cálculo: </w:t>
      </w:r>
    </w:p>
    <w:p>
      <w:pPr>
        <w:numPr>
          <w:ilvl w:val="1"/>
          <w:numId w:val="1"/>
        </w:numPr>
        <w:spacing w:before="0" w:after="0"/>
        <w:jc w:val="left"/>
      </w:pPr>
      <w:r>
        <w:rPr>
          <w:rFonts w:ascii="Calibri" w:hAnsi="Calibri"/>
          <w:b w:val="false"/>
          <w:i w:val="false"/>
          <w:color w:val="000000"/>
          <w:sz w:val="22"/>
          <w:u w:val="single"/>
        </w:rPr>
        <w:t>Numerador</w:t>
      </w:r>
      <w:r>
        <w:rPr>
          <w:rFonts w:ascii="Calibri" w:hAnsi="Calibri"/>
          <w:b w:val="false"/>
          <w:i w:val="false"/>
          <w:color w:val="000000"/>
          <w:sz w:val="22"/>
        </w:rPr>
        <w:t>: </w:t>
      </w:r>
      <w:hyperlink r:id="rId16">
        <w:r>
          <w:rPr>
            <w:rFonts w:ascii="Calibri" w:hAnsi="Calibri"/>
            <w:b w:val="false"/>
            <w:i w:val="false"/>
            <w:color w:val="0000ff"/>
            <w:sz w:val="22"/>
            <w:u w:val="single"/>
          </w:rPr>
          <w:t>Nº de estudiantes de nuevo ingreso (Máster)</w:t>
        </w:r>
      </w:hyperlink>
    </w:p>
    <w:p>
      <w:pPr>
        <w:numPr>
          <w:ilvl w:val="1"/>
          <w:numId w:val="1"/>
        </w:numPr>
        <w:spacing w:before="0" w:after="0"/>
        <w:jc w:val="left"/>
      </w:pPr>
      <w:r>
        <w:rPr>
          <w:rFonts w:ascii="Calibri" w:hAnsi="Calibri"/>
          <w:b w:val="false"/>
          <w:i w:val="false"/>
          <w:color w:val="000000"/>
          <w:sz w:val="22"/>
          <w:u w:val="single"/>
        </w:rPr>
        <w:t>Denominador</w:t>
      </w:r>
      <w:r>
        <w:rPr>
          <w:rFonts w:ascii="Calibri" w:hAnsi="Calibri"/>
          <w:b w:val="false"/>
          <w:i w:val="false"/>
          <w:color w:val="000000"/>
          <w:sz w:val="22"/>
        </w:rPr>
        <w:t>: </w:t>
      </w:r>
      <w:hyperlink r:id="rId17">
        <w:r>
          <w:rPr>
            <w:rFonts w:ascii="Calibri" w:hAnsi="Calibri"/>
            <w:b w:val="false"/>
            <w:i w:val="false"/>
            <w:color w:val="0000ff"/>
            <w:sz w:val="22"/>
            <w:u w:val="single"/>
          </w:rPr>
          <w:t>Nº total de plazas ofertadas (Máster)</w:t>
        </w:r>
      </w:hyperlink>
    </w:p>
    <w:p>
      <w:pPr>
        <w:numPr>
          <w:ilvl w:val="0"/>
          <w:numId w:val="1"/>
        </w:numPr>
        <w:spacing w:before="0" w:after="0"/>
        <w:jc w:val="left"/>
      </w:pPr>
      <w:r>
        <w:rPr>
          <w:rFonts w:ascii="Calibri" w:hAnsi="Calibri"/>
          <w:b w:val="false"/>
          <w:i w:val="false"/>
          <w:color w:val="000000"/>
          <w:sz w:val="22"/>
        </w:rPr>
        <w:t>Por tanto, el indicador “</w:t>
      </w:r>
      <w:r>
        <w:rPr>
          <w:rFonts w:ascii="Calibri" w:hAnsi="Calibri"/>
          <w:b w:val="false"/>
          <w:i/>
          <w:color w:val="000000"/>
          <w:sz w:val="22"/>
        </w:rPr>
        <w:t>Cobertura de plazas ofertadas para máster</w:t>
      </w:r>
      <w:r>
        <w:rPr>
          <w:rFonts w:ascii="Calibri" w:hAnsi="Calibri"/>
          <w:b w:val="false"/>
          <w:i w:val="false"/>
          <w:color w:val="000000"/>
          <w:sz w:val="22"/>
        </w:rPr>
        <w:t>” cumple los siguientes criterios:</w:t>
      </w:r>
    </w:p>
    <w:p>
      <w:pPr>
        <w:numPr>
          <w:ilvl w:val="1"/>
          <w:numId w:val="2"/>
        </w:numPr>
        <w:spacing w:before="0" w:after="0"/>
        <w:jc w:val="left"/>
      </w:pPr>
      <w:r>
        <w:rPr>
          <w:rFonts w:ascii="Calibri" w:hAnsi="Calibri"/>
          <w:b w:val="false"/>
          <w:i w:val="false"/>
          <w:color w:val="000000"/>
          <w:sz w:val="22"/>
        </w:rPr>
        <w:t>Tipo de estudio = Máster</w:t>
      </w:r>
    </w:p>
    <w:p>
      <w:pPr>
        <w:numPr>
          <w:ilvl w:val="1"/>
          <w:numId w:val="2"/>
        </w:numPr>
        <w:spacing w:before="0" w:after="0"/>
        <w:jc w:val="left"/>
      </w:pPr>
      <w:r>
        <w:rPr>
          <w:rFonts w:ascii="Calibri" w:hAnsi="Calibri"/>
          <w:b w:val="false"/>
          <w:i w:val="false"/>
          <w:color w:val="000000"/>
          <w:sz w:val="22"/>
        </w:rPr>
        <w:t>Que el año de primera matrícula en el plan de estudios sea el mismo que el año académico de referencia.</w:t>
      </w:r>
    </w:p>
    <w:p>
      <w:pPr>
        <w:numPr>
          <w:ilvl w:val="1"/>
          <w:numId w:val="2"/>
        </w:numPr>
        <w:spacing w:before="0" w:after="0"/>
        <w:jc w:val="left"/>
      </w:pPr>
      <w:r>
        <w:rPr>
          <w:rFonts w:ascii="Calibri" w:hAnsi="Calibri"/>
          <w:b w:val="false"/>
          <w:i w:val="false"/>
          <w:color w:val="000000"/>
          <w:sz w:val="22"/>
        </w:rPr>
        <w:t>Población de referencia: </w:t>
      </w:r>
      <w:hyperlink r:id="rId18">
        <w:r>
          <w:rPr>
            <w:rFonts w:ascii="Calibri" w:hAnsi="Calibri"/>
            <w:b w:val="false"/>
            <w:i w:val="false"/>
            <w:color w:val="0000ff"/>
            <w:sz w:val="22"/>
            <w:u w:val="single"/>
          </w:rPr>
          <w:t>Población Total</w:t>
        </w:r>
      </w:hyperlink>
    </w:p>
    <w:p>
      <w:pPr>
        <w:numPr>
          <w:ilvl w:val="0"/>
          <w:numId w:val="3"/>
        </w:numPr>
        <w:spacing w:before="0" w:after="0"/>
        <w:jc w:val="left"/>
      </w:pPr>
      <w:r>
        <w:rPr>
          <w:rFonts w:ascii="Calibri" w:hAnsi="Calibri"/>
          <w:b/>
          <w:i w:val="false"/>
          <w:color w:val="000000"/>
          <w:sz w:val="22"/>
        </w:rPr>
        <w:t>Frecuencia medición: </w:t>
      </w:r>
      <w:r>
        <w:rPr>
          <w:rFonts w:ascii="Calibri" w:hAnsi="Calibri"/>
          <w:b w:val="false"/>
          <w:i w:val="false"/>
          <w:color w:val="000000"/>
          <w:sz w:val="22"/>
        </w:rPr>
        <w:t>Año académico. </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25/06/2026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abstractNum>
  <w:abstractNum w:abstractNumId="2">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1"/>
    <w:lvlOverride w:ilvl="1">
      <w:startOverride w:val="1"/>
      <w:lvl w:ilvl="1">
        <w:numFmt w:val="bullet"/>
        <w:lvlText w:val="o"/>
        <w:pPr>
          <w:ind w:left="1560" w:hanging="360"/>
        </w:pPr>
        <w:rPr>
          <w:rFonts w:hint="default" w:ascii="Courier New" w:hAnsi="Courier New" w:cs="Courier New"/>
        </w:rPr>
      </w:lvl>
    </w:lvlOverride>
  </w:num>
  <w:num w:numId="3">
    <w:abstractNumId w:val="2"/>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 TargetMode="External" Target="PreviewConcept.action?conceptCode=10486" Type="http://schemas.openxmlformats.org/officeDocument/2006/relationships/hyperlink" Id="rId16"/>
    <Relationship TargetMode="External" Target="PreviewConcept.action?conceptCode=10483" Type="http://schemas.openxmlformats.org/officeDocument/2006/relationships/hyperlink" Id="rId17"/>
    <Relationship TargetMode="External" Target="PreviewConcept.action?conceptCode=10634" Type="http://schemas.openxmlformats.org/officeDocument/2006/relationships/hyperlink" Id="rId18"/>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