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472501">
            <w:r>
              <w:rPr>
                <w:rStyle w:val="Hyperlink"/>
              </w:rPr>
              <w:t>Indicador - Nº de preinscritos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_Toc4472501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4725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_Toc4472502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4725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_Toc4472503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472501" w:id="1"/>
      <w:r>
        <w:t>Indicador - Nº de preinscritos</w:t>
      </w:r>
      <w:bookmarkEnd w:id="1"/>
    </w:p>
    <w:p>
      <w:pPr>
        <w:pStyle w:val="DiccionarioT2"/>
      </w:pPr>
      <w:bookmarkStart w:name="_Toc44725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solicitudes recibidas en títulos de grado y máster.</w:t>
      </w:r>
    </w:p>
    <w:p>
      <w:pPr>
        <w:pStyle w:val="DiccionarioT2"/>
      </w:pPr>
      <w:bookmarkStart w:name="_Toc44725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del número de solicitudes por titulación en el curso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  <w:r>
        <w:br/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Frecuencia medición: 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