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206751">
            <w:r>
              <w:rPr>
                <w:rStyle w:val="Hyperlink"/>
              </w:rPr>
              <w:t>Indicador - Nº de estudiantes de nuevo ingreso (máster) que son población óptima con dedicación a tiempo completo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_Toc3206751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2067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_Toc3206752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20675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_Toc3206753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20675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_Toc3206754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206751" w:id="1"/>
      <w:r>
        <w:t>Indicador - Nº de estudiantes de nuevo ingreso (máster) que son población óptima con dedicación a tiempo completo</w:t>
      </w:r>
      <w:bookmarkEnd w:id="1"/>
    </w:p>
    <w:p>
      <w:pPr>
        <w:pStyle w:val="DiccionarioT2"/>
      </w:pPr>
      <w:bookmarkStart w:name="_Toc32067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estudiantes de nuevo ingreso en titulaciones de máster que, atendiendo al criterio SIIU, en el curso de referencia son población óptima con dedicación a tiempo completo el primer año.</w:t>
      </w:r>
    </w:p>
    <w:p>
      <w:pPr>
        <w:pStyle w:val="DiccionarioT2"/>
      </w:pPr>
      <w:bookmarkStart w:name="_Toc320675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Conteo de alumno/as que están matriculados en alguna titulación que cumplan los siguientes criterios en el período de estudio: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Que el año de primera matrícula en el plan de estudios sea el mismo que el año académico de referencia.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Dedicación = Tiempo Completo (el 1er año).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Óptima</w:t>
        </w:r>
      </w:hyperlink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320675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02/08/2026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636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