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847641">
            <w:r>
              <w:rPr>
                <w:rStyle w:val="Hyperlink"/>
              </w:rPr>
              <w:t>Indicador - Tasa de rendimiento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_Toc3847641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47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_Toc3847642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47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_Toc3847643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8476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_Toc3847644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847641" w:id="1"/>
      <w:r>
        <w:t>Indicador - Tasa de rendimiento</w:t>
      </w:r>
      <w:bookmarkEnd w:id="1"/>
    </w:p>
    <w:p>
      <w:pPr>
        <w:pStyle w:val="DiccionarioT2"/>
      </w:pPr>
      <w:bookmarkStart w:name="_Toc3847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superados y el número de créditos matriculados.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Cuanto más alejados estén los valores del 100%, la tasa de rendimiento indica la mayor dificultad para presentarse y superar las materias.</w:t>
      </w:r>
    </w:p>
    <w:p>
      <w:pPr>
        <w:pStyle w:val="DiccionarioT2"/>
      </w:pPr>
      <w:bookmarkStart w:name="_Toc3847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rendimiento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38476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