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85761">
            <w:r>
              <w:rPr>
                <w:rStyle w:val="Hyperlink"/>
              </w:rPr>
              <w:t>Indicador - Tasa de rendimiento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_Toc7785761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57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_Toc7785762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57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_Toc7785763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85761" w:id="1"/>
      <w:r>
        <w:t>Indicador - Tasa de rendimiento</w:t>
      </w:r>
      <w:bookmarkEnd w:id="1"/>
    </w:p>
    <w:p>
      <w:pPr>
        <w:pStyle w:val="DiccionarioT2"/>
      </w:pPr>
      <w:bookmarkStart w:name="_Toc77857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de créditos superados y el número de créditos matriculados.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Cuanto más alejados estén los valores del 100%, la tasa de rendimiento indica la mayor dificultad para presentarse y superar las materias.</w:t>
      </w:r>
    </w:p>
    <w:p>
      <w:pPr>
        <w:pStyle w:val="DiccionarioT2"/>
      </w:pPr>
      <w:bookmarkStart w:name="_Toc77857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superados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rendimiento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de créditos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0" Type="http://schemas.openxmlformats.org/officeDocument/2006/relationships/hyperlink" Id="rId16"/>
    <Relationship TargetMode="External" Target="PreviewConcept.action?conceptCode=10501" Type="http://schemas.openxmlformats.org/officeDocument/2006/relationships/hyperlink" Id="rId17"/>
    <Relationship TargetMode="External" Target="PreviewConcept.action?conceptCode=10603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