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439901">
            <w:r>
              <w:rPr>
                <w:rStyle w:val="Hyperlink"/>
              </w:rPr>
              <w:t>Áreas funcionales - Área académica (Grado y Máster)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_Toc8439901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4399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_Toc8439902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439901" w:id="1"/>
      <w:r>
        <w:t>Áreas funcionales - Área académica (Grado y Máster)</w:t>
      </w:r>
      <w:bookmarkEnd w:id="1"/>
    </w:p>
    <w:p>
      <w:pPr>
        <w:pStyle w:val="DiccionarioT2"/>
      </w:pPr>
      <w:bookmarkStart w:name="_Toc84399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este ámbito, el aspecto estratégico es la satisfacción de los estudiantes con el proceso de enseñanza/aprendizaje. El prestigio de la universidad depende en gran medida de su capacidad para atraer estudiantes y cumplir con sus expectativas. Para ello, la universidad debe intentar que la experiencia de estos estudiantes en sus años universitarios sea lo más satisfactoria posible y les permita alcanzar sus objetivos académicos con el mayor éxito.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